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3B" w:rsidRPr="00DE523B" w:rsidRDefault="00DE523B" w:rsidP="00DE523B">
      <w:pPr>
        <w:pStyle w:val="NormalWeb"/>
        <w:spacing w:before="0" w:beforeAutospacing="0" w:after="0" w:afterAutospacing="0"/>
        <w:jc w:val="both"/>
        <w:rPr>
          <w:rStyle w:val="Strong"/>
          <w:rFonts w:ascii="AcadNusx" w:hAnsi="AcadNusx" w:cs="Calibri"/>
          <w:iCs/>
          <w:caps/>
          <w:spacing w:val="23"/>
        </w:rPr>
      </w:pPr>
      <w:proofErr w:type="spellStart"/>
      <w:proofErr w:type="gramStart"/>
      <w:r w:rsidRPr="00DE523B">
        <w:rPr>
          <w:rStyle w:val="Strong"/>
          <w:rFonts w:ascii="Sylfaen" w:hAnsi="Sylfaen" w:cs="Sylfaen"/>
          <w:iCs/>
          <w:caps/>
          <w:spacing w:val="23"/>
        </w:rPr>
        <w:t>საარბიტრაჟო</w:t>
      </w:r>
      <w:proofErr w:type="spellEnd"/>
      <w:proofErr w:type="gram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სასამართლოს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მეშვეობით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მხარეთა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შეთანხმების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შემთხვევაში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შესაძლებელი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ხდება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მათ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შორის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არსებული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ქონებრივი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დავები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გადაწყდეს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სწრაფად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მხარეთა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მიერ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დანიშნული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არბიტრების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უშუალო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მონაწილეობით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რაც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შეიძლება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ნაკლები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დანახარჯებით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. </w:t>
      </w:r>
      <w:proofErr w:type="spellStart"/>
      <w:proofErr w:type="gramStart"/>
      <w:r w:rsidRPr="00DE523B">
        <w:rPr>
          <w:rStyle w:val="Strong"/>
          <w:rFonts w:ascii="Sylfaen" w:hAnsi="Sylfaen" w:cs="Sylfaen"/>
          <w:iCs/>
          <w:caps/>
          <w:spacing w:val="23"/>
        </w:rPr>
        <w:t>ამავე</w:t>
      </w:r>
      <w:proofErr w:type="spellEnd"/>
      <w:proofErr w:type="gram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დროს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საქმის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განხილვისას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დაცულია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საქართველოს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კონსტიტუციით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სამოქალაქო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საპროცესო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კანონმდებლობით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დადგენილი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ყველა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ძირითადი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პრინციპი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: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მხარეთა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თანაბარუფლებიანობა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შეჯიბრებითობა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კანონისა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სასამართლოს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წინაშე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პირთა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თანასწორობა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სხვა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>.</w:t>
      </w:r>
    </w:p>
    <w:p w:rsidR="00DE523B" w:rsidRPr="00DE523B" w:rsidRDefault="00DE523B" w:rsidP="00DE523B">
      <w:pPr>
        <w:pStyle w:val="NormalWeb"/>
        <w:spacing w:before="0" w:beforeAutospacing="0" w:after="0" w:afterAutospacing="0"/>
        <w:jc w:val="both"/>
        <w:rPr>
          <w:rFonts w:ascii="AcadNusx" w:hAnsi="AcadNusx" w:cs="Arial"/>
        </w:rPr>
      </w:pPr>
    </w:p>
    <w:p w:rsidR="00DE523B" w:rsidRPr="00DE523B" w:rsidRDefault="00DE523B" w:rsidP="00DE523B">
      <w:pPr>
        <w:pStyle w:val="NormalWeb"/>
        <w:spacing w:before="0" w:beforeAutospacing="0" w:after="0" w:afterAutospacing="0"/>
        <w:jc w:val="both"/>
        <w:rPr>
          <w:rStyle w:val="Strong"/>
          <w:rFonts w:ascii="AcadNusx" w:hAnsi="AcadNusx" w:cs="Calibri"/>
          <w:iCs/>
          <w:caps/>
          <w:spacing w:val="23"/>
        </w:rPr>
      </w:pP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არბიტრაჟში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საქმეები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განიხილება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"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არბიტრაჟის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შესახებ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"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საქართველოს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კანონის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მუდმივმოქმედი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არბიტრაჟი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„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მორავი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>“-</w:t>
      </w:r>
      <w:r w:rsidRPr="00DE523B">
        <w:rPr>
          <w:rStyle w:val="Strong"/>
          <w:rFonts w:ascii="Sylfaen" w:hAnsi="Sylfaen" w:cs="Sylfaen"/>
          <w:iCs/>
          <w:caps/>
          <w:spacing w:val="23"/>
        </w:rPr>
        <w:t>ს</w:t>
      </w:r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დებულების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საფუძველზე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რომელიც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შემუშავებულია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მუდმივმოქმედ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"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არბიტრაჟის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შესახებ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"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საქართველოს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კანონის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საქართველოს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სამოქალაქო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საპროცესო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კოდექსის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მოთხოვნათა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დაცვით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ემსახურება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ყველა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ზემოთჩამოთვლილი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პრინციპების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რეალიზაციას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>.</w:t>
      </w:r>
    </w:p>
    <w:p w:rsidR="00DE523B" w:rsidRPr="00DE523B" w:rsidRDefault="00DE523B" w:rsidP="00DE523B">
      <w:pPr>
        <w:pStyle w:val="NormalWeb"/>
        <w:spacing w:before="0" w:beforeAutospacing="0" w:after="0" w:afterAutospacing="0"/>
        <w:jc w:val="both"/>
        <w:rPr>
          <w:rFonts w:ascii="AcadNusx" w:hAnsi="AcadNusx" w:cs="Arial"/>
        </w:rPr>
      </w:pPr>
    </w:p>
    <w:p w:rsidR="00DE523B" w:rsidRDefault="00DE523B" w:rsidP="00DE523B">
      <w:pPr>
        <w:pStyle w:val="NormalWeb"/>
        <w:spacing w:before="0" w:beforeAutospacing="0" w:after="0" w:afterAutospacing="0"/>
        <w:jc w:val="both"/>
        <w:rPr>
          <w:rStyle w:val="Strong"/>
          <w:rFonts w:ascii="Sylfaen" w:hAnsi="Sylfaen" w:cs="Calibri"/>
          <w:iCs/>
          <w:caps/>
          <w:spacing w:val="23"/>
          <w:lang w:val="ka-GE"/>
        </w:rPr>
      </w:pPr>
      <w:proofErr w:type="spellStart"/>
      <w:proofErr w:type="gramStart"/>
      <w:r w:rsidRPr="00DE523B">
        <w:rPr>
          <w:rStyle w:val="Strong"/>
          <w:rFonts w:ascii="Sylfaen" w:hAnsi="Sylfaen" w:cs="Sylfaen"/>
          <w:iCs/>
          <w:caps/>
          <w:spacing w:val="23"/>
        </w:rPr>
        <w:t>შპს</w:t>
      </w:r>
      <w:proofErr w:type="spellEnd"/>
      <w:proofErr w:type="gram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,,</w:t>
      </w:r>
      <w:proofErr w:type="spellStart"/>
      <w:r>
        <w:rPr>
          <w:rStyle w:val="Strong"/>
          <w:rFonts w:ascii="Sylfaen" w:hAnsi="Sylfaen" w:cs="Calibri"/>
          <w:iCs/>
          <w:caps/>
          <w:spacing w:val="23"/>
          <w:lang w:val="ka-GE"/>
        </w:rPr>
        <w:t>საარბიტრაჟო</w:t>
      </w:r>
      <w:proofErr w:type="spellEnd"/>
      <w:r>
        <w:rPr>
          <w:rStyle w:val="Strong"/>
          <w:rFonts w:ascii="Sylfaen" w:hAnsi="Sylfaen" w:cs="Calibri"/>
          <w:iCs/>
          <w:caps/>
          <w:spacing w:val="23"/>
          <w:lang w:val="ka-GE"/>
        </w:rPr>
        <w:t xml:space="preserve"> სასამართლო</w:t>
      </w:r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“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დაფუძნდა</w:t>
      </w:r>
      <w:proofErr w:type="spellEnd"/>
      <w:r>
        <w:rPr>
          <w:rStyle w:val="Strong"/>
          <w:rFonts w:ascii="AcadNusx" w:hAnsi="AcadNusx" w:cs="Calibri"/>
          <w:iCs/>
          <w:caps/>
          <w:spacing w:val="23"/>
        </w:rPr>
        <w:t>  201</w:t>
      </w:r>
      <w:r>
        <w:rPr>
          <w:rStyle w:val="Strong"/>
          <w:rFonts w:ascii="Sylfaen" w:hAnsi="Sylfaen" w:cs="Calibri"/>
          <w:iCs/>
          <w:caps/>
          <w:spacing w:val="23"/>
          <w:lang w:val="ka-GE"/>
        </w:rPr>
        <w:t xml:space="preserve">4 წელს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დღეისთვის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ჩამოყალიბებულია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როგორც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დავების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გადაწყვეტის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ალტერნატიული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საშუალება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. </w:t>
      </w:r>
      <w:proofErr w:type="spellStart"/>
      <w:proofErr w:type="gramStart"/>
      <w:r w:rsidRPr="00DE523B">
        <w:rPr>
          <w:rStyle w:val="Strong"/>
          <w:rFonts w:ascii="Sylfaen" w:hAnsi="Sylfaen" w:cs="Sylfaen"/>
          <w:iCs/>
          <w:caps/>
          <w:spacing w:val="23"/>
        </w:rPr>
        <w:t>დავების</w:t>
      </w:r>
      <w:proofErr w:type="spellEnd"/>
      <w:proofErr w:type="gram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გადაწყვეტის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არბიტრაჟის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ფორმა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სამოქალაქო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ბიზნეს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ურთიერთობებში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დავების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გადაწყვეტის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ყველაზე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ეფექტური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საშვალებაა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>.</w:t>
      </w:r>
    </w:p>
    <w:p w:rsidR="00DE523B" w:rsidRPr="00DE523B" w:rsidRDefault="00DE523B" w:rsidP="00DE523B">
      <w:pPr>
        <w:pStyle w:val="NormalWeb"/>
        <w:spacing w:before="0" w:beforeAutospacing="0" w:after="0" w:afterAutospacing="0"/>
        <w:jc w:val="both"/>
        <w:rPr>
          <w:rFonts w:ascii="Sylfaen" w:hAnsi="Sylfaen" w:cs="Arial"/>
          <w:lang w:val="ka-GE"/>
        </w:rPr>
      </w:pPr>
    </w:p>
    <w:p w:rsidR="00DE523B" w:rsidRDefault="00DE523B" w:rsidP="00DE523B">
      <w:pPr>
        <w:pStyle w:val="NormalWeb"/>
        <w:spacing w:before="0" w:beforeAutospacing="0" w:after="0" w:afterAutospacing="0"/>
        <w:jc w:val="both"/>
        <w:rPr>
          <w:rStyle w:val="Strong"/>
          <w:rFonts w:ascii="Sylfaen" w:hAnsi="Sylfaen" w:cs="Calibri"/>
          <w:iCs/>
          <w:caps/>
          <w:spacing w:val="23"/>
          <w:lang w:val="ka-GE"/>
        </w:rPr>
      </w:pPr>
      <w:proofErr w:type="spellStart"/>
      <w:proofErr w:type="gramStart"/>
      <w:r w:rsidRPr="00DE523B">
        <w:rPr>
          <w:rStyle w:val="Strong"/>
          <w:rFonts w:ascii="Sylfaen" w:hAnsi="Sylfaen" w:cs="Sylfaen"/>
          <w:iCs/>
          <w:caps/>
          <w:spacing w:val="23"/>
        </w:rPr>
        <w:t>შპს</w:t>
      </w:r>
      <w:proofErr w:type="spellEnd"/>
      <w:proofErr w:type="gram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,,</w:t>
      </w:r>
      <w:proofErr w:type="spellStart"/>
      <w:r>
        <w:rPr>
          <w:rStyle w:val="Strong"/>
          <w:rFonts w:ascii="Sylfaen" w:hAnsi="Sylfaen" w:cs="Calibri"/>
          <w:iCs/>
          <w:caps/>
          <w:spacing w:val="23"/>
          <w:lang w:val="ka-GE"/>
        </w:rPr>
        <w:t>საარბიტრაჟო</w:t>
      </w:r>
      <w:proofErr w:type="spellEnd"/>
      <w:r>
        <w:rPr>
          <w:rStyle w:val="Strong"/>
          <w:rFonts w:ascii="Sylfaen" w:hAnsi="Sylfaen" w:cs="Calibri"/>
          <w:iCs/>
          <w:caps/>
          <w:spacing w:val="23"/>
          <w:lang w:val="ka-GE"/>
        </w:rPr>
        <w:t xml:space="preserve"> სასამართლო</w:t>
      </w:r>
      <w:r>
        <w:rPr>
          <w:rStyle w:val="Strong"/>
          <w:rFonts w:ascii="AcadNusx" w:hAnsi="AcadNusx" w:cs="Calibri"/>
          <w:iCs/>
          <w:caps/>
          <w:spacing w:val="23"/>
        </w:rPr>
        <w:t>“</w:t>
      </w:r>
      <w:r w:rsidRPr="00DE523B">
        <w:rPr>
          <w:rStyle w:val="Strong"/>
          <w:rFonts w:ascii="AcadNusx" w:hAnsi="AcadNusx" w:cs="Calibri"/>
          <w:iCs/>
          <w:caps/>
          <w:spacing w:val="23"/>
        </w:rPr>
        <w:t>-</w:t>
      </w:r>
      <w:r w:rsidRPr="00DE523B">
        <w:rPr>
          <w:rStyle w:val="Strong"/>
          <w:rFonts w:ascii="Sylfaen" w:hAnsi="Sylfaen" w:cs="Sylfaen"/>
          <w:iCs/>
          <w:caps/>
          <w:spacing w:val="23"/>
        </w:rPr>
        <w:t>ს</w:t>
      </w:r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კანცელარია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აწარმოებს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როგორც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მხარეებისგან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მიღებულ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ისე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საარბიტრაჟო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განხილვის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პროცესში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შექმნილ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დოკუმენტების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ელექტრონულ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არქივს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რომელიც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ხელმისაწვდომია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მხარეთათვის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>.</w:t>
      </w:r>
    </w:p>
    <w:p w:rsidR="00DE523B" w:rsidRPr="00DE523B" w:rsidRDefault="00DE523B" w:rsidP="00DE523B">
      <w:pPr>
        <w:pStyle w:val="NormalWeb"/>
        <w:spacing w:before="0" w:beforeAutospacing="0" w:after="0" w:afterAutospacing="0"/>
        <w:jc w:val="both"/>
        <w:rPr>
          <w:rFonts w:ascii="Sylfaen" w:hAnsi="Sylfaen" w:cs="Arial"/>
          <w:lang w:val="ka-GE"/>
        </w:rPr>
      </w:pPr>
    </w:p>
    <w:p w:rsidR="00DE523B" w:rsidRPr="00DE523B" w:rsidRDefault="00DE523B" w:rsidP="00DE523B">
      <w:pPr>
        <w:pStyle w:val="NormalWeb"/>
        <w:spacing w:before="0" w:beforeAutospacing="0" w:after="0" w:afterAutospacing="0"/>
        <w:jc w:val="both"/>
        <w:rPr>
          <w:rFonts w:ascii="AcadNusx" w:hAnsi="AcadNusx" w:cs="Arial"/>
        </w:rPr>
      </w:pP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მხარეებს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აქვთ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საშუალება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შპს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,,</w:t>
      </w:r>
      <w:proofErr w:type="spellStart"/>
      <w:r>
        <w:rPr>
          <w:rStyle w:val="Strong"/>
          <w:rFonts w:ascii="Sylfaen" w:hAnsi="Sylfaen" w:cs="Calibri"/>
          <w:iCs/>
          <w:caps/>
          <w:spacing w:val="23"/>
          <w:lang w:val="ka-GE"/>
        </w:rPr>
        <w:t>საარბიტრაჟო</w:t>
      </w:r>
      <w:proofErr w:type="spellEnd"/>
      <w:r>
        <w:rPr>
          <w:rStyle w:val="Strong"/>
          <w:rFonts w:ascii="Sylfaen" w:hAnsi="Sylfaen" w:cs="Calibri"/>
          <w:iCs/>
          <w:caps/>
          <w:spacing w:val="23"/>
          <w:lang w:val="ka-GE"/>
        </w:rPr>
        <w:t xml:space="preserve"> სასამართლო</w:t>
      </w:r>
      <w:r>
        <w:rPr>
          <w:rStyle w:val="Strong"/>
          <w:rFonts w:ascii="AcadNusx" w:hAnsi="AcadNusx" w:cs="Calibri"/>
          <w:iCs/>
          <w:caps/>
          <w:spacing w:val="23"/>
        </w:rPr>
        <w:t>“</w:t>
      </w:r>
      <w:r w:rsidRPr="00DE523B">
        <w:rPr>
          <w:rStyle w:val="Strong"/>
          <w:rFonts w:ascii="AcadNusx" w:hAnsi="AcadNusx" w:cs="Calibri"/>
          <w:iCs/>
          <w:caps/>
          <w:spacing w:val="23"/>
        </w:rPr>
        <w:t>-</w:t>
      </w:r>
      <w:r w:rsidRPr="00DE523B">
        <w:rPr>
          <w:rStyle w:val="Strong"/>
          <w:rFonts w:ascii="Sylfaen" w:hAnsi="Sylfaen" w:cs="Sylfaen"/>
          <w:iCs/>
          <w:caps/>
          <w:spacing w:val="23"/>
        </w:rPr>
        <w:t>ს</w:t>
      </w:r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ვებგვერდზე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არსებული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სპეციალური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პროგრამის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გამოყენებით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ელექტრონული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ფორმით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მიაწოდონ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r>
        <w:rPr>
          <w:rStyle w:val="Strong"/>
          <w:rFonts w:ascii="Sylfaen" w:hAnsi="Sylfaen" w:cs="Calibri"/>
          <w:iCs/>
          <w:caps/>
          <w:spacing w:val="23"/>
          <w:lang w:val="ka-GE"/>
        </w:rPr>
        <w:t>ამ უკანასკნელის</w:t>
      </w:r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კანცელარიას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საარბიტრაჟო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სარჩელი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შესაგებელი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ასევე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ონლაინ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რეჟიმში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გაეცნონ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საქმის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მასალებს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მიიღონ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საქმესთან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დაკავშირებული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მასალები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რაც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ხელს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უწყობს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საქმის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სწრაფად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,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ეფექტურად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ნაკლები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დანახარჯებით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 xml:space="preserve"> </w:t>
      </w:r>
      <w:proofErr w:type="spellStart"/>
      <w:r w:rsidRPr="00DE523B">
        <w:rPr>
          <w:rStyle w:val="Strong"/>
          <w:rFonts w:ascii="Sylfaen" w:hAnsi="Sylfaen" w:cs="Sylfaen"/>
          <w:iCs/>
          <w:caps/>
          <w:spacing w:val="23"/>
        </w:rPr>
        <w:t>განხილვას</w:t>
      </w:r>
      <w:proofErr w:type="spellEnd"/>
      <w:r w:rsidRPr="00DE523B">
        <w:rPr>
          <w:rStyle w:val="Strong"/>
          <w:rFonts w:ascii="AcadNusx" w:hAnsi="AcadNusx" w:cs="Calibri"/>
          <w:iCs/>
          <w:caps/>
          <w:spacing w:val="23"/>
        </w:rPr>
        <w:t>.</w:t>
      </w:r>
      <w:r>
        <w:rPr>
          <w:rStyle w:val="Strong"/>
          <w:rFonts w:ascii="Sylfaen" w:hAnsi="Sylfaen" w:cs="Calibri"/>
          <w:iCs/>
          <w:caps/>
          <w:spacing w:val="23"/>
          <w:lang w:val="ka-GE"/>
        </w:rPr>
        <w:t xml:space="preserve"> </w:t>
      </w:r>
    </w:p>
    <w:p w:rsidR="00504DB3" w:rsidRPr="00DE523B" w:rsidRDefault="00504DB3">
      <w:pPr>
        <w:rPr>
          <w:rFonts w:ascii="AcadNusx" w:hAnsi="AcadNusx"/>
        </w:rPr>
      </w:pPr>
    </w:p>
    <w:sectPr w:rsidR="00504DB3" w:rsidRPr="00DE523B" w:rsidSect="00504DB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ad Nusx Geo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E523B"/>
    <w:rsid w:val="00504DB3"/>
    <w:rsid w:val="00DE523B"/>
    <w:rsid w:val="00E1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ad Nusx Geo" w:eastAsiaTheme="minorHAnsi" w:hAnsi="Acad Nusx Geo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2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DE52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2020-06-12T12:08:00Z</dcterms:created>
  <dcterms:modified xsi:type="dcterms:W3CDTF">2020-06-12T12:12:00Z</dcterms:modified>
</cp:coreProperties>
</file>